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6B4B" w14:textId="77777777" w:rsidR="00784E15" w:rsidRDefault="00784E15" w:rsidP="00784E15">
      <w:pPr>
        <w:pStyle w:val="western"/>
        <w:shd w:val="clear" w:color="auto" w:fill="FFFFFF"/>
        <w:spacing w:before="0" w:beforeAutospacing="0" w:after="0" w:afterAutospacing="0" w:line="576" w:lineRule="atLeast"/>
        <w:jc w:val="center"/>
        <w:rPr>
          <w:color w:val="333333"/>
          <w:sz w:val="18"/>
          <w:szCs w:val="18"/>
        </w:rPr>
      </w:pPr>
      <w:proofErr w:type="gramStart"/>
      <w:r>
        <w:rPr>
          <w:rFonts w:ascii="仿宋_GB2312" w:eastAsia="仿宋_GB2312" w:hint="eastAsia"/>
          <w:color w:val="333333"/>
          <w:sz w:val="32"/>
          <w:szCs w:val="32"/>
        </w:rPr>
        <w:t>研</w:t>
      </w:r>
      <w:proofErr w:type="gramEnd"/>
      <w:r>
        <w:rPr>
          <w:rFonts w:ascii="仿宋_GB2312" w:eastAsia="仿宋_GB2312" w:hint="eastAsia"/>
          <w:color w:val="333333"/>
          <w:sz w:val="32"/>
          <w:szCs w:val="32"/>
        </w:rPr>
        <w:t>院发〔2018〕10号</w:t>
      </w:r>
    </w:p>
    <w:p w14:paraId="09A6F497" w14:textId="77777777" w:rsidR="00784E15" w:rsidRDefault="00784E15" w:rsidP="00784E15">
      <w:pPr>
        <w:pStyle w:val="western"/>
        <w:shd w:val="clear" w:color="auto" w:fill="FFFFFF"/>
        <w:spacing w:before="0" w:beforeAutospacing="0" w:after="0" w:afterAutospacing="0" w:line="279" w:lineRule="atLeast"/>
        <w:jc w:val="center"/>
        <w:rPr>
          <w:rFonts w:hint="eastAsia"/>
          <w:color w:val="333333"/>
          <w:sz w:val="18"/>
          <w:szCs w:val="18"/>
        </w:rPr>
      </w:pPr>
    </w:p>
    <w:p w14:paraId="6501FE40" w14:textId="77777777" w:rsidR="00784E15" w:rsidRDefault="00784E15" w:rsidP="00784E15">
      <w:pPr>
        <w:pStyle w:val="western"/>
        <w:shd w:val="clear" w:color="auto" w:fill="FFFFFF"/>
        <w:spacing w:before="0" w:beforeAutospacing="0" w:after="0" w:afterAutospacing="0" w:line="135" w:lineRule="atLeast"/>
        <w:rPr>
          <w:rFonts w:hint="eastAsia"/>
          <w:color w:val="333333"/>
          <w:sz w:val="18"/>
          <w:szCs w:val="18"/>
        </w:rPr>
      </w:pPr>
    </w:p>
    <w:p w14:paraId="1883BC56" w14:textId="77777777" w:rsidR="00784E15" w:rsidRDefault="00784E15" w:rsidP="00784E15">
      <w:pPr>
        <w:pStyle w:val="western"/>
        <w:shd w:val="clear" w:color="auto" w:fill="FFFFFF"/>
        <w:spacing w:before="0" w:beforeAutospacing="0" w:after="0" w:afterAutospacing="0" w:line="135" w:lineRule="atLeast"/>
        <w:rPr>
          <w:rFonts w:hint="eastAsia"/>
          <w:color w:val="333333"/>
          <w:sz w:val="18"/>
          <w:szCs w:val="18"/>
        </w:rPr>
      </w:pPr>
    </w:p>
    <w:p w14:paraId="10DCF5FA" w14:textId="77777777" w:rsidR="00784E15" w:rsidRDefault="00784E15" w:rsidP="00784E15">
      <w:pPr>
        <w:pStyle w:val="western"/>
        <w:shd w:val="clear" w:color="auto" w:fill="FFFFFF"/>
        <w:spacing w:before="0" w:beforeAutospacing="0" w:after="0" w:afterAutospacing="0"/>
        <w:rPr>
          <w:rFonts w:hint="eastAsia"/>
          <w:color w:val="333333"/>
          <w:sz w:val="18"/>
          <w:szCs w:val="18"/>
        </w:rPr>
      </w:pPr>
    </w:p>
    <w:p w14:paraId="07D53D48" w14:textId="77777777" w:rsidR="00784E15" w:rsidRDefault="00784E15" w:rsidP="00784E15">
      <w:pPr>
        <w:pStyle w:val="western"/>
        <w:shd w:val="clear" w:color="auto" w:fill="FFFFFF"/>
        <w:spacing w:before="0" w:beforeAutospacing="0" w:after="0" w:afterAutospacing="0"/>
        <w:rPr>
          <w:rFonts w:hint="eastAsia"/>
          <w:color w:val="333333"/>
          <w:sz w:val="18"/>
          <w:szCs w:val="18"/>
        </w:rPr>
      </w:pPr>
    </w:p>
    <w:p w14:paraId="1A9CB53F" w14:textId="77777777" w:rsidR="00784E15" w:rsidRDefault="00784E15" w:rsidP="00784E15">
      <w:pPr>
        <w:pStyle w:val="western"/>
        <w:shd w:val="clear" w:color="auto" w:fill="FFFFFF"/>
        <w:spacing w:before="0" w:beforeAutospacing="0" w:after="0" w:afterAutospacing="0" w:line="270" w:lineRule="atLeast"/>
        <w:jc w:val="center"/>
        <w:rPr>
          <w:rFonts w:hint="eastAsia"/>
          <w:color w:val="333333"/>
          <w:sz w:val="18"/>
          <w:szCs w:val="18"/>
        </w:rPr>
      </w:pPr>
      <w:r>
        <w:rPr>
          <w:rStyle w:val="a7"/>
          <w:rFonts w:ascii="华文中宋" w:eastAsia="华文中宋" w:hAnsi="华文中宋" w:hint="eastAsia"/>
          <w:color w:val="333333"/>
          <w:sz w:val="44"/>
          <w:szCs w:val="44"/>
        </w:rPr>
        <w:t>关于印发《</w:t>
      </w:r>
    </w:p>
    <w:p w14:paraId="08E1ED4F" w14:textId="77777777" w:rsidR="00784E15" w:rsidRDefault="00784E15" w:rsidP="00784E15">
      <w:pPr>
        <w:pStyle w:val="a8"/>
        <w:shd w:val="clear" w:color="auto" w:fill="FFFFFF"/>
        <w:spacing w:before="0" w:beforeAutospacing="0" w:after="0" w:afterAutospacing="0" w:line="225" w:lineRule="atLeast"/>
        <w:jc w:val="center"/>
        <w:rPr>
          <w:rFonts w:hint="eastAsia"/>
          <w:color w:val="333333"/>
          <w:sz w:val="18"/>
          <w:szCs w:val="18"/>
        </w:rPr>
      </w:pPr>
      <w:r>
        <w:rPr>
          <w:rStyle w:val="a7"/>
          <w:rFonts w:ascii="华文中宋" w:eastAsia="华文中宋" w:hAnsi="华文中宋" w:hint="eastAsia"/>
          <w:color w:val="333333"/>
          <w:sz w:val="44"/>
          <w:szCs w:val="44"/>
        </w:rPr>
        <w:t>中国石油大学（华东）研究生课程学分认定及成绩转换管理办法</w:t>
      </w:r>
      <w:proofErr w:type="gramStart"/>
      <w:r>
        <w:rPr>
          <w:rStyle w:val="a7"/>
          <w:rFonts w:ascii="华文中宋" w:eastAsia="华文中宋" w:hAnsi="华文中宋" w:hint="eastAsia"/>
          <w:color w:val="333333"/>
          <w:sz w:val="44"/>
          <w:szCs w:val="44"/>
        </w:rPr>
        <w:t>》</w:t>
      </w:r>
      <w:proofErr w:type="gramEnd"/>
      <w:r>
        <w:rPr>
          <w:rStyle w:val="a7"/>
          <w:rFonts w:ascii="华文中宋" w:eastAsia="华文中宋" w:hAnsi="华文中宋" w:hint="eastAsia"/>
          <w:color w:val="333333"/>
          <w:sz w:val="44"/>
          <w:szCs w:val="44"/>
        </w:rPr>
        <w:t>的通知</w:t>
      </w:r>
    </w:p>
    <w:p w14:paraId="5E59A4BF" w14:textId="77777777" w:rsidR="00784E15" w:rsidRDefault="00784E15" w:rsidP="00784E15">
      <w:pPr>
        <w:pStyle w:val="western"/>
        <w:shd w:val="clear" w:color="auto" w:fill="FFFFFF"/>
        <w:spacing w:before="0" w:beforeAutospacing="0" w:after="0" w:afterAutospacing="0"/>
        <w:rPr>
          <w:rFonts w:hint="eastAsia"/>
          <w:color w:val="333333"/>
          <w:sz w:val="18"/>
          <w:szCs w:val="18"/>
        </w:rPr>
      </w:pPr>
      <w:r>
        <w:rPr>
          <w:rStyle w:val="a7"/>
          <w:rFonts w:ascii="仿宋_GB2312" w:eastAsia="仿宋_GB2312" w:hint="eastAsia"/>
          <w:color w:val="333333"/>
          <w:sz w:val="32"/>
          <w:szCs w:val="32"/>
        </w:rPr>
        <w:t>各有关单位：</w:t>
      </w:r>
    </w:p>
    <w:p w14:paraId="3012244E" w14:textId="77777777" w:rsidR="00784E15" w:rsidRDefault="00784E15" w:rsidP="00784E15">
      <w:pPr>
        <w:pStyle w:val="western"/>
        <w:shd w:val="clear" w:color="auto" w:fill="FFFFFF"/>
        <w:spacing w:before="0" w:beforeAutospacing="0" w:after="0" w:afterAutospacing="0" w:line="605" w:lineRule="atLeast"/>
        <w:rPr>
          <w:rFonts w:hint="eastAsia"/>
          <w:color w:val="333333"/>
          <w:sz w:val="18"/>
          <w:szCs w:val="18"/>
        </w:rPr>
      </w:pPr>
      <w:r>
        <w:rPr>
          <w:rFonts w:ascii="仿宋_GB2312" w:eastAsia="仿宋_GB2312" w:hint="eastAsia"/>
          <w:color w:val="333333"/>
          <w:sz w:val="32"/>
          <w:szCs w:val="32"/>
        </w:rPr>
        <w:t>现将《中国石油大学（华东）研究生课程学分认定及成绩转换管理办法》印发给你们，望认真遵照执行。</w:t>
      </w:r>
    </w:p>
    <w:p w14:paraId="430793E9" w14:textId="77777777" w:rsidR="00784E15" w:rsidRDefault="00784E15" w:rsidP="00784E15">
      <w:pPr>
        <w:pStyle w:val="western"/>
        <w:shd w:val="clear" w:color="auto" w:fill="FFFFFF"/>
        <w:spacing w:before="0" w:beforeAutospacing="0" w:after="0" w:afterAutospacing="0" w:line="605" w:lineRule="atLeast"/>
        <w:rPr>
          <w:rFonts w:hint="eastAsia"/>
          <w:color w:val="333333"/>
          <w:sz w:val="18"/>
          <w:szCs w:val="18"/>
        </w:rPr>
      </w:pPr>
    </w:p>
    <w:p w14:paraId="14C227BD" w14:textId="77777777" w:rsidR="00784E15" w:rsidRDefault="00784E15" w:rsidP="00784E15">
      <w:pPr>
        <w:pStyle w:val="western"/>
        <w:shd w:val="clear" w:color="auto" w:fill="FFFFFF"/>
        <w:spacing w:before="0" w:beforeAutospacing="0" w:after="0" w:afterAutospacing="0" w:line="605" w:lineRule="atLeast"/>
        <w:rPr>
          <w:rFonts w:hint="eastAsia"/>
          <w:color w:val="333333"/>
          <w:sz w:val="18"/>
          <w:szCs w:val="18"/>
        </w:rPr>
      </w:pPr>
    </w:p>
    <w:p w14:paraId="777B4C2F" w14:textId="77777777" w:rsidR="00784E15" w:rsidRDefault="00784E15" w:rsidP="00784E15">
      <w:pPr>
        <w:pStyle w:val="western"/>
        <w:shd w:val="clear" w:color="auto" w:fill="FFFFFF"/>
        <w:spacing w:before="0" w:beforeAutospacing="0" w:after="0" w:afterAutospacing="0" w:line="605" w:lineRule="atLeast"/>
        <w:rPr>
          <w:rFonts w:hint="eastAsia"/>
          <w:color w:val="333333"/>
          <w:sz w:val="18"/>
          <w:szCs w:val="18"/>
        </w:rPr>
      </w:pPr>
      <w:r>
        <w:rPr>
          <w:rFonts w:ascii="仿宋_GB2312" w:eastAsia="仿宋_GB2312" w:hint="eastAsia"/>
          <w:color w:val="333333"/>
          <w:sz w:val="32"/>
          <w:szCs w:val="32"/>
        </w:rPr>
        <w:t>研究生院</w:t>
      </w:r>
    </w:p>
    <w:p w14:paraId="50268EB3" w14:textId="77777777" w:rsidR="00784E15" w:rsidRDefault="00784E15" w:rsidP="00784E15">
      <w:pPr>
        <w:pStyle w:val="western"/>
        <w:shd w:val="clear" w:color="auto" w:fill="FFFFFF"/>
        <w:spacing w:before="0" w:beforeAutospacing="0" w:after="0" w:afterAutospacing="0"/>
        <w:ind w:firstLine="418"/>
        <w:rPr>
          <w:rFonts w:hint="eastAsia"/>
          <w:color w:val="333333"/>
          <w:sz w:val="18"/>
          <w:szCs w:val="18"/>
        </w:rPr>
      </w:pPr>
      <w:r>
        <w:rPr>
          <w:rFonts w:ascii="仿宋_GB2312" w:eastAsia="仿宋_GB2312" w:hint="eastAsia"/>
          <w:color w:val="333333"/>
          <w:sz w:val="32"/>
          <w:szCs w:val="32"/>
        </w:rPr>
        <w:t>2018年7月23日</w:t>
      </w:r>
    </w:p>
    <w:p w14:paraId="723D4AF5" w14:textId="77777777" w:rsidR="00784E15" w:rsidRDefault="00784E15" w:rsidP="00784E15">
      <w:pPr>
        <w:pStyle w:val="western"/>
        <w:shd w:val="clear" w:color="auto" w:fill="FFFFFF"/>
        <w:spacing w:before="0" w:beforeAutospacing="0" w:after="0" w:afterAutospacing="0" w:line="252" w:lineRule="atLeast"/>
        <w:ind w:right="14" w:firstLine="634"/>
        <w:rPr>
          <w:rFonts w:hint="eastAsia"/>
          <w:color w:val="333333"/>
          <w:sz w:val="18"/>
          <w:szCs w:val="18"/>
        </w:rPr>
      </w:pPr>
    </w:p>
    <w:p w14:paraId="3471825B" w14:textId="77777777" w:rsidR="00784E15" w:rsidRDefault="00784E15" w:rsidP="00784E15">
      <w:pPr>
        <w:pStyle w:val="western"/>
        <w:shd w:val="clear" w:color="auto" w:fill="FFFFFF"/>
        <w:spacing w:before="0" w:beforeAutospacing="0" w:after="0" w:afterAutospacing="0" w:line="270" w:lineRule="atLeast"/>
        <w:ind w:right="14" w:firstLine="475"/>
        <w:rPr>
          <w:rFonts w:hint="eastAsia"/>
          <w:color w:val="333333"/>
          <w:sz w:val="18"/>
          <w:szCs w:val="18"/>
        </w:rPr>
      </w:pPr>
    </w:p>
    <w:p w14:paraId="01A29F86" w14:textId="77777777" w:rsidR="00784E15" w:rsidRDefault="00784E15" w:rsidP="00784E15">
      <w:pPr>
        <w:pStyle w:val="western"/>
        <w:shd w:val="clear" w:color="auto" w:fill="FFFFFF"/>
        <w:spacing w:before="0" w:beforeAutospacing="0" w:after="0" w:afterAutospacing="0" w:line="270" w:lineRule="atLeast"/>
        <w:ind w:right="14" w:firstLine="475"/>
        <w:rPr>
          <w:rFonts w:hint="eastAsia"/>
          <w:color w:val="333333"/>
          <w:sz w:val="18"/>
          <w:szCs w:val="18"/>
        </w:rPr>
      </w:pPr>
    </w:p>
    <w:p w14:paraId="56CE8F93" w14:textId="77777777" w:rsidR="00784E15" w:rsidRDefault="00784E15" w:rsidP="00784E15">
      <w:pPr>
        <w:pStyle w:val="western"/>
        <w:shd w:val="clear" w:color="auto" w:fill="FFFFFF"/>
        <w:spacing w:before="0" w:beforeAutospacing="0" w:after="0" w:afterAutospacing="0" w:line="270" w:lineRule="atLeast"/>
        <w:ind w:right="14" w:firstLine="475"/>
        <w:rPr>
          <w:rFonts w:hint="eastAsia"/>
          <w:color w:val="333333"/>
          <w:sz w:val="18"/>
          <w:szCs w:val="18"/>
        </w:rPr>
      </w:pPr>
    </w:p>
    <w:p w14:paraId="4D66E793" w14:textId="77777777" w:rsidR="00784E15" w:rsidRDefault="00784E15" w:rsidP="00784E15">
      <w:pPr>
        <w:pStyle w:val="western"/>
        <w:shd w:val="clear" w:color="auto" w:fill="FFFFFF"/>
        <w:spacing w:before="0" w:beforeAutospacing="0" w:after="0" w:afterAutospacing="0" w:line="270" w:lineRule="atLeast"/>
        <w:ind w:right="14" w:firstLine="475"/>
        <w:rPr>
          <w:rFonts w:hint="eastAsia"/>
          <w:color w:val="333333"/>
          <w:sz w:val="18"/>
          <w:szCs w:val="18"/>
        </w:rPr>
      </w:pPr>
    </w:p>
    <w:p w14:paraId="7FCECA4A" w14:textId="77777777" w:rsidR="00784E15" w:rsidRDefault="00784E15" w:rsidP="00784E15">
      <w:pPr>
        <w:pStyle w:val="western"/>
        <w:shd w:val="clear" w:color="auto" w:fill="FFFFFF"/>
        <w:spacing w:before="0" w:beforeAutospacing="0" w:after="0" w:afterAutospacing="0" w:line="270" w:lineRule="atLeast"/>
        <w:ind w:right="14" w:firstLine="475"/>
        <w:rPr>
          <w:rFonts w:hint="eastAsia"/>
          <w:color w:val="333333"/>
          <w:sz w:val="18"/>
          <w:szCs w:val="18"/>
        </w:rPr>
      </w:pPr>
    </w:p>
    <w:p w14:paraId="3B337B8F" w14:textId="77777777" w:rsidR="00784E15" w:rsidRDefault="00784E15" w:rsidP="00784E15">
      <w:pPr>
        <w:pStyle w:val="western"/>
        <w:shd w:val="clear" w:color="auto" w:fill="FFFFFF"/>
        <w:spacing w:before="0" w:beforeAutospacing="0" w:after="0" w:afterAutospacing="0"/>
        <w:jc w:val="center"/>
        <w:rPr>
          <w:rFonts w:hint="eastAsia"/>
          <w:color w:val="333333"/>
          <w:sz w:val="18"/>
          <w:szCs w:val="18"/>
        </w:rPr>
      </w:pPr>
      <w:r>
        <w:rPr>
          <w:rStyle w:val="a7"/>
          <w:rFonts w:ascii="黑体" w:eastAsia="黑体" w:hAnsi="黑体" w:hint="eastAsia"/>
          <w:color w:val="000000"/>
          <w:sz w:val="36"/>
          <w:szCs w:val="36"/>
        </w:rPr>
        <w:t>中国石油大学（华东）</w:t>
      </w:r>
    </w:p>
    <w:p w14:paraId="4117EE66" w14:textId="77777777" w:rsidR="00784E15" w:rsidRDefault="00784E15" w:rsidP="00784E15">
      <w:pPr>
        <w:pStyle w:val="western"/>
        <w:shd w:val="clear" w:color="auto" w:fill="FFFFFF"/>
        <w:spacing w:before="0" w:beforeAutospacing="0" w:after="0" w:afterAutospacing="0"/>
        <w:jc w:val="center"/>
        <w:rPr>
          <w:rFonts w:hint="eastAsia"/>
          <w:color w:val="333333"/>
          <w:sz w:val="18"/>
          <w:szCs w:val="18"/>
        </w:rPr>
      </w:pPr>
      <w:r>
        <w:rPr>
          <w:rStyle w:val="a7"/>
          <w:rFonts w:ascii="黑体" w:eastAsia="黑体" w:hAnsi="黑体" w:hint="eastAsia"/>
          <w:color w:val="000000"/>
          <w:sz w:val="36"/>
          <w:szCs w:val="36"/>
        </w:rPr>
        <w:t>研究生课程学分认定及成绩转换管理办法（试行）</w:t>
      </w:r>
    </w:p>
    <w:p w14:paraId="4E21838A" w14:textId="77777777" w:rsidR="00784E15" w:rsidRDefault="00784E15" w:rsidP="00784E15">
      <w:pPr>
        <w:pStyle w:val="western"/>
        <w:shd w:val="clear" w:color="auto" w:fill="FFFFFF"/>
        <w:spacing w:before="0" w:beforeAutospacing="0" w:after="0" w:afterAutospacing="0"/>
        <w:jc w:val="center"/>
        <w:rPr>
          <w:rFonts w:hint="eastAsia"/>
          <w:color w:val="333333"/>
          <w:sz w:val="18"/>
          <w:szCs w:val="18"/>
        </w:rPr>
      </w:pPr>
    </w:p>
    <w:p w14:paraId="76C01FB8" w14:textId="77777777" w:rsidR="00784E15" w:rsidRDefault="00784E15" w:rsidP="00784E15">
      <w:pPr>
        <w:pStyle w:val="western"/>
        <w:shd w:val="clear" w:color="auto" w:fill="FFFFFF"/>
        <w:spacing w:before="0" w:beforeAutospacing="0" w:after="0" w:afterAutospacing="0"/>
        <w:jc w:val="center"/>
        <w:rPr>
          <w:rFonts w:hint="eastAsia"/>
          <w:color w:val="333333"/>
          <w:sz w:val="18"/>
          <w:szCs w:val="18"/>
        </w:rPr>
      </w:pPr>
      <w:r>
        <w:rPr>
          <w:rStyle w:val="a7"/>
          <w:rFonts w:ascii="黑体" w:eastAsia="黑体" w:hAnsi="黑体" w:hint="eastAsia"/>
          <w:color w:val="333333"/>
          <w:sz w:val="32"/>
          <w:szCs w:val="32"/>
        </w:rPr>
        <w:t>第一章 总则</w:t>
      </w:r>
    </w:p>
    <w:p w14:paraId="438DC6D6"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000000"/>
          <w:sz w:val="32"/>
          <w:szCs w:val="32"/>
        </w:rPr>
        <w:lastRenderedPageBreak/>
        <w:t>第一条 为进一步提高研究生创新实践能力</w:t>
      </w:r>
      <w:r>
        <w:rPr>
          <w:rFonts w:ascii="仿宋" w:eastAsia="仿宋" w:hAnsi="仿宋" w:hint="eastAsia"/>
          <w:color w:val="333333"/>
          <w:sz w:val="32"/>
          <w:szCs w:val="32"/>
        </w:rPr>
        <w:t>，</w:t>
      </w:r>
      <w:r>
        <w:rPr>
          <w:rFonts w:ascii="仿宋" w:eastAsia="仿宋" w:hAnsi="仿宋" w:hint="eastAsia"/>
          <w:color w:val="000000"/>
          <w:sz w:val="32"/>
          <w:szCs w:val="32"/>
        </w:rPr>
        <w:t>促进研究生多样化、个性化、国际化发展，根据《中国石油大学（华东）研究生管理办法》（石大东发[2017]23号）文件，制定本办法。</w:t>
      </w:r>
    </w:p>
    <w:p w14:paraId="3111D649"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000000"/>
          <w:sz w:val="32"/>
          <w:szCs w:val="32"/>
        </w:rPr>
        <w:t>第二条 本办法适用于研究生在国家公派项目、校际交流项目、</w:t>
      </w:r>
      <w:r>
        <w:rPr>
          <w:rFonts w:ascii="仿宋" w:eastAsia="仿宋" w:hAnsi="仿宋" w:hint="eastAsia"/>
          <w:color w:val="333333"/>
          <w:sz w:val="32"/>
          <w:szCs w:val="32"/>
        </w:rPr>
        <w:t>联合培养项目</w:t>
      </w:r>
      <w:r>
        <w:rPr>
          <w:rFonts w:ascii="仿宋" w:eastAsia="仿宋" w:hAnsi="仿宋" w:hint="eastAsia"/>
          <w:color w:val="000000"/>
          <w:sz w:val="32"/>
          <w:szCs w:val="32"/>
        </w:rPr>
        <w:t>派出交流期间在合作高校所修课程，还适用于研究生参加集中学习、学术与实践活动、重要学科竞赛、创新创业活动等情况的学分认定。</w:t>
      </w:r>
    </w:p>
    <w:p w14:paraId="1456807E" w14:textId="77777777" w:rsidR="00784E15" w:rsidRDefault="00784E15" w:rsidP="00784E15">
      <w:pPr>
        <w:pStyle w:val="western"/>
        <w:shd w:val="clear" w:color="auto" w:fill="FFFFFF"/>
        <w:spacing w:before="0" w:beforeAutospacing="0" w:after="0" w:afterAutospacing="0"/>
        <w:jc w:val="center"/>
        <w:rPr>
          <w:rFonts w:hint="eastAsia"/>
          <w:color w:val="333333"/>
          <w:sz w:val="18"/>
          <w:szCs w:val="18"/>
        </w:rPr>
      </w:pPr>
      <w:r>
        <w:rPr>
          <w:rStyle w:val="a7"/>
          <w:rFonts w:ascii="黑体" w:eastAsia="黑体" w:hAnsi="黑体" w:hint="eastAsia"/>
          <w:color w:val="333333"/>
          <w:sz w:val="32"/>
          <w:szCs w:val="32"/>
        </w:rPr>
        <w:t>第二章 认定要求</w:t>
      </w:r>
    </w:p>
    <w:p w14:paraId="558C30AC"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333333"/>
          <w:sz w:val="32"/>
          <w:szCs w:val="32"/>
        </w:rPr>
        <w:t>第三条 申请认定课程分为普通课程和</w:t>
      </w:r>
      <w:proofErr w:type="spellStart"/>
      <w:r>
        <w:rPr>
          <w:rFonts w:ascii="仿宋" w:eastAsia="仿宋" w:hAnsi="仿宋" w:hint="eastAsia"/>
          <w:color w:val="333333"/>
          <w:sz w:val="32"/>
          <w:szCs w:val="32"/>
        </w:rPr>
        <w:t>Upcic</w:t>
      </w:r>
      <w:proofErr w:type="spellEnd"/>
      <w:r>
        <w:rPr>
          <w:rFonts w:ascii="仿宋" w:eastAsia="仿宋" w:hAnsi="仿宋" w:hint="eastAsia"/>
          <w:color w:val="333333"/>
          <w:sz w:val="32"/>
          <w:szCs w:val="32"/>
        </w:rPr>
        <w:t>课程两类。</w:t>
      </w:r>
    </w:p>
    <w:p w14:paraId="7E341A96"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000000"/>
          <w:sz w:val="32"/>
          <w:szCs w:val="32"/>
        </w:rPr>
        <w:t>第四条 普通课程适用于第二条所述的公派项目、校际交流项目、联合培养项目所修课程的学分认定。校外学习单位应为我校认可的高校或科研机构，在校外所学课程与申请者所在专业培养方案规定的课程内容相同或相近，学时相当，研究生所在院（部）可以按申请者所在专业培养方案规定的同类课程予以认定，具体规定如下：</w:t>
      </w:r>
    </w:p>
    <w:p w14:paraId="2FECE01C"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333333"/>
          <w:sz w:val="32"/>
          <w:szCs w:val="32"/>
        </w:rPr>
        <w:t>1.申请认定课程不得与研究生在我校已修的课程重复。</w:t>
      </w:r>
    </w:p>
    <w:p w14:paraId="2D5E5024"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333333"/>
          <w:sz w:val="32"/>
          <w:szCs w:val="32"/>
        </w:rPr>
        <w:t>2.在离校前未办理相关手续或相关手续办理不齐全的研究生，其在校外修读的课程学分不予认定。</w:t>
      </w:r>
    </w:p>
    <w:p w14:paraId="163530E0"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000000"/>
          <w:sz w:val="32"/>
          <w:szCs w:val="32"/>
        </w:rPr>
        <w:lastRenderedPageBreak/>
        <w:t>3.联合培养项目协议中对可认定课程有具体约定的，在约定目录内的课程可申请按照联合培养协议认定。</w:t>
      </w:r>
    </w:p>
    <w:p w14:paraId="11A0B2E8"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000000"/>
          <w:sz w:val="32"/>
          <w:szCs w:val="32"/>
        </w:rPr>
        <w:t>4.成绩转换以校外学习单位提供的成绩单为依据。待认定课程的成绩，若为百分制，则按实际分数登录；若为评分等级，则以等级成绩区间的最低分数登记,如“A”或“优”登记为90分，“B”或“良”登记为80分，</w:t>
      </w:r>
      <w:r>
        <w:rPr>
          <w:rFonts w:ascii="仿宋" w:eastAsia="仿宋" w:hAnsi="仿宋" w:hint="eastAsia"/>
          <w:color w:val="333333"/>
          <w:sz w:val="32"/>
          <w:szCs w:val="32"/>
        </w:rPr>
        <w:t>未标明具体成绩者，按75分登记。</w:t>
      </w:r>
    </w:p>
    <w:p w14:paraId="5CFC243A"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bookmarkStart w:id="0" w:name="_Hlk515400754"/>
      <w:bookmarkEnd w:id="0"/>
      <w:r>
        <w:rPr>
          <w:rFonts w:ascii="仿宋" w:eastAsia="仿宋" w:hAnsi="仿宋" w:hint="eastAsia"/>
          <w:color w:val="333333"/>
          <w:sz w:val="32"/>
          <w:szCs w:val="32"/>
        </w:rPr>
        <w:t>第五条</w:t>
      </w:r>
      <w:r>
        <w:rPr>
          <w:rFonts w:ascii="Calibri" w:eastAsia="仿宋" w:hAnsi="Calibri" w:cs="Calibri"/>
          <w:color w:val="333333"/>
          <w:sz w:val="32"/>
          <w:szCs w:val="32"/>
        </w:rPr>
        <w:t> </w:t>
      </w:r>
      <w:proofErr w:type="spellStart"/>
      <w:r>
        <w:rPr>
          <w:rFonts w:ascii="仿宋" w:eastAsia="仿宋" w:hAnsi="仿宋" w:hint="eastAsia"/>
          <w:color w:val="333333"/>
          <w:sz w:val="32"/>
          <w:szCs w:val="32"/>
        </w:rPr>
        <w:t>Upcic</w:t>
      </w:r>
      <w:proofErr w:type="spellEnd"/>
      <w:r>
        <w:rPr>
          <w:rFonts w:ascii="仿宋" w:eastAsia="仿宋" w:hAnsi="仿宋" w:hint="eastAsia"/>
          <w:color w:val="333333"/>
          <w:sz w:val="32"/>
          <w:szCs w:val="32"/>
        </w:rPr>
        <w:t>课程是UPC Intensive Curricula的缩写，意为中国石油大学集中式课程。该课程属选修课，其学分计入研究生课程总学分。</w:t>
      </w:r>
      <w:proofErr w:type="spellStart"/>
      <w:r>
        <w:rPr>
          <w:rFonts w:ascii="仿宋" w:eastAsia="仿宋" w:hAnsi="仿宋" w:hint="eastAsia"/>
          <w:color w:val="333333"/>
          <w:sz w:val="32"/>
          <w:szCs w:val="32"/>
        </w:rPr>
        <w:t>Upcic</w:t>
      </w:r>
      <w:proofErr w:type="spellEnd"/>
      <w:r>
        <w:rPr>
          <w:rFonts w:ascii="仿宋" w:eastAsia="仿宋" w:hAnsi="仿宋" w:hint="eastAsia"/>
          <w:color w:val="333333"/>
          <w:sz w:val="32"/>
          <w:szCs w:val="32"/>
        </w:rPr>
        <w:t>课程适用于第二条所述的研究生参加集中学习、学术与实践活动、重要学科竞赛、创新创业活动等情况的学分认定。</w:t>
      </w:r>
    </w:p>
    <w:p w14:paraId="5006BCE1"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333333"/>
          <w:sz w:val="32"/>
          <w:szCs w:val="32"/>
        </w:rPr>
        <w:t>第六条</w:t>
      </w:r>
      <w:r>
        <w:rPr>
          <w:rFonts w:ascii="Calibri" w:eastAsia="仿宋" w:hAnsi="Calibri" w:cs="Calibri"/>
          <w:color w:val="333333"/>
          <w:sz w:val="32"/>
          <w:szCs w:val="32"/>
        </w:rPr>
        <w:t> </w:t>
      </w:r>
      <w:r>
        <w:rPr>
          <w:rFonts w:ascii="仿宋" w:eastAsia="仿宋" w:hAnsi="仿宋" w:hint="eastAsia"/>
          <w:color w:val="333333"/>
          <w:sz w:val="32"/>
          <w:szCs w:val="32"/>
        </w:rPr>
        <w:t>集中学习指研究生在校内修读未纳入学年开课计划的集中排设课程，或在校外修读开放性课程；学术与实践活动指我校认可的各级各类研究生暑期学校、博士生论坛、国际学术会议等学术交流活动和研究生暑期社会实践团等社会实践活动；重要学科竞赛指中国研究生创新实践系列大赛及学校认可的相应级别赛事；创新创业活动指研究生参加的由教育部、团中央、中科协等单位主办的全国性研究生创新创业大赛，以及在学、休学、保留学籍期间开展的创新创业实践活动。</w:t>
      </w:r>
    </w:p>
    <w:p w14:paraId="2D88EE96"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333333"/>
          <w:sz w:val="32"/>
          <w:szCs w:val="32"/>
        </w:rPr>
        <w:lastRenderedPageBreak/>
        <w:t>第七条</w:t>
      </w:r>
      <w:r>
        <w:rPr>
          <w:rFonts w:ascii="Calibri" w:eastAsia="仿宋" w:hAnsi="Calibri" w:cs="Calibri"/>
          <w:color w:val="333333"/>
          <w:sz w:val="32"/>
          <w:szCs w:val="32"/>
        </w:rPr>
        <w:t> </w:t>
      </w:r>
      <w:proofErr w:type="spellStart"/>
      <w:r>
        <w:rPr>
          <w:rFonts w:ascii="仿宋" w:eastAsia="仿宋" w:hAnsi="仿宋" w:hint="eastAsia"/>
          <w:color w:val="333333"/>
          <w:sz w:val="32"/>
          <w:szCs w:val="32"/>
        </w:rPr>
        <w:t>Upcic</w:t>
      </w:r>
      <w:proofErr w:type="spellEnd"/>
      <w:r>
        <w:rPr>
          <w:rFonts w:ascii="仿宋" w:eastAsia="仿宋" w:hAnsi="仿宋" w:hint="eastAsia"/>
          <w:color w:val="333333"/>
          <w:sz w:val="32"/>
          <w:szCs w:val="32"/>
        </w:rPr>
        <w:t>课程学分一般为0.5或1学分，可以累积，但累积不得超过3学分，且同一项活动或赛事不予重复认定。具体认定要求如下：</w:t>
      </w:r>
    </w:p>
    <w:p w14:paraId="7935CB14" w14:textId="77777777" w:rsidR="00784E15" w:rsidRDefault="00784E15" w:rsidP="00784E15">
      <w:pPr>
        <w:pStyle w:val="a8"/>
        <w:numPr>
          <w:ilvl w:val="0"/>
          <w:numId w:val="1"/>
        </w:numPr>
        <w:shd w:val="clear" w:color="auto" w:fill="FFFFFF"/>
        <w:spacing w:before="0" w:beforeAutospacing="0" w:after="0" w:afterAutospacing="0"/>
        <w:ind w:left="0"/>
        <w:rPr>
          <w:rFonts w:hint="eastAsia"/>
          <w:color w:val="333333"/>
          <w:sz w:val="18"/>
          <w:szCs w:val="18"/>
        </w:rPr>
      </w:pPr>
      <w:r>
        <w:rPr>
          <w:rFonts w:ascii="仿宋" w:eastAsia="仿宋" w:hAnsi="仿宋" w:hint="eastAsia"/>
          <w:color w:val="333333"/>
          <w:sz w:val="32"/>
          <w:szCs w:val="32"/>
        </w:rPr>
        <w:t>申请认定项目为集中学习的，累计上课学时达到或者超过16学时，认定为1学分；累计上课学时超过8学时但少于16学时，认定为0.5个学分；累计上课学时少于8学时，不予认定学分。</w:t>
      </w:r>
    </w:p>
    <w:p w14:paraId="1FBCAF43" w14:textId="77777777" w:rsidR="00784E15" w:rsidRDefault="00784E15" w:rsidP="00784E15">
      <w:pPr>
        <w:pStyle w:val="a8"/>
        <w:numPr>
          <w:ilvl w:val="0"/>
          <w:numId w:val="1"/>
        </w:numPr>
        <w:shd w:val="clear" w:color="auto" w:fill="FFFFFF"/>
        <w:spacing w:before="0" w:beforeAutospacing="0" w:after="0" w:afterAutospacing="0"/>
        <w:ind w:left="0"/>
        <w:rPr>
          <w:rFonts w:hint="eastAsia"/>
          <w:color w:val="333333"/>
          <w:sz w:val="18"/>
          <w:szCs w:val="18"/>
        </w:rPr>
      </w:pPr>
      <w:r>
        <w:rPr>
          <w:rFonts w:ascii="仿宋" w:eastAsia="仿宋" w:hAnsi="仿宋" w:hint="eastAsia"/>
          <w:color w:val="333333"/>
          <w:sz w:val="32"/>
          <w:szCs w:val="32"/>
        </w:rPr>
        <w:t>申请认定项目为学术与实践活动的，由研究生所在院（部）根据活动级别、活动强度、活动持续时间等因素，认定为0.5或1学分。</w:t>
      </w:r>
    </w:p>
    <w:p w14:paraId="249C4D85" w14:textId="77777777" w:rsidR="00784E15" w:rsidRDefault="00784E15" w:rsidP="00784E15">
      <w:pPr>
        <w:pStyle w:val="a8"/>
        <w:numPr>
          <w:ilvl w:val="0"/>
          <w:numId w:val="1"/>
        </w:numPr>
        <w:shd w:val="clear" w:color="auto" w:fill="FFFFFF"/>
        <w:spacing w:before="0" w:beforeAutospacing="0" w:after="0" w:afterAutospacing="0"/>
        <w:ind w:left="0"/>
        <w:rPr>
          <w:rFonts w:hint="eastAsia"/>
          <w:color w:val="333333"/>
          <w:sz w:val="18"/>
          <w:szCs w:val="18"/>
        </w:rPr>
      </w:pPr>
      <w:r>
        <w:rPr>
          <w:rFonts w:ascii="仿宋" w:eastAsia="仿宋" w:hAnsi="仿宋" w:hint="eastAsia"/>
          <w:color w:val="333333"/>
          <w:sz w:val="32"/>
          <w:szCs w:val="32"/>
        </w:rPr>
        <w:t>申请认定项目为重要学科竞赛或者创新创业大赛的，获得特等奖或一等奖的认定为1学分，获得二等奖或三等奖的认定为</w:t>
      </w:r>
      <w:r>
        <w:rPr>
          <w:rFonts w:ascii="仿宋" w:eastAsia="仿宋" w:hAnsi="仿宋" w:cs="Calibri" w:hint="eastAsia"/>
          <w:color w:val="333333"/>
          <w:sz w:val="32"/>
          <w:szCs w:val="32"/>
        </w:rPr>
        <w:t>0.5</w:t>
      </w:r>
      <w:r>
        <w:rPr>
          <w:rFonts w:ascii="仿宋" w:eastAsia="仿宋" w:hAnsi="仿宋" w:hint="eastAsia"/>
          <w:color w:val="333333"/>
          <w:sz w:val="32"/>
          <w:szCs w:val="32"/>
        </w:rPr>
        <w:t>学分。</w:t>
      </w:r>
    </w:p>
    <w:p w14:paraId="1B56B94A" w14:textId="77777777" w:rsidR="00784E15" w:rsidRDefault="00784E15" w:rsidP="00784E15">
      <w:pPr>
        <w:pStyle w:val="a8"/>
        <w:numPr>
          <w:ilvl w:val="0"/>
          <w:numId w:val="1"/>
        </w:numPr>
        <w:shd w:val="clear" w:color="auto" w:fill="FFFFFF"/>
        <w:spacing w:before="0" w:beforeAutospacing="0" w:after="0" w:afterAutospacing="0"/>
        <w:ind w:left="0"/>
        <w:rPr>
          <w:rFonts w:hint="eastAsia"/>
          <w:color w:val="333333"/>
          <w:sz w:val="18"/>
          <w:szCs w:val="18"/>
        </w:rPr>
      </w:pPr>
      <w:r>
        <w:rPr>
          <w:rFonts w:ascii="仿宋" w:eastAsia="仿宋" w:hAnsi="仿宋" w:hint="eastAsia"/>
          <w:color w:val="333333"/>
          <w:sz w:val="32"/>
          <w:szCs w:val="32"/>
        </w:rPr>
        <w:t>申请认定项目为创新创业实践活动的，须参加院（部）组织的公开评审答辩。</w:t>
      </w:r>
      <w:proofErr w:type="gramStart"/>
      <w:r>
        <w:rPr>
          <w:rFonts w:ascii="仿宋" w:eastAsia="仿宋" w:hAnsi="仿宋" w:hint="eastAsia"/>
          <w:color w:val="333333"/>
          <w:sz w:val="32"/>
          <w:szCs w:val="32"/>
        </w:rPr>
        <w:t>若项目</w:t>
      </w:r>
      <w:proofErr w:type="gramEnd"/>
      <w:r>
        <w:rPr>
          <w:rFonts w:ascii="仿宋" w:eastAsia="仿宋" w:hAnsi="仿宋" w:hint="eastAsia"/>
          <w:color w:val="333333"/>
          <w:sz w:val="32"/>
          <w:szCs w:val="32"/>
        </w:rPr>
        <w:t>具有较好的创新性和先进性，可认定为1学分。</w:t>
      </w:r>
    </w:p>
    <w:p w14:paraId="690F1AC8" w14:textId="77777777" w:rsidR="00784E15" w:rsidRDefault="00784E15" w:rsidP="00784E15">
      <w:pPr>
        <w:pStyle w:val="a8"/>
        <w:numPr>
          <w:ilvl w:val="0"/>
          <w:numId w:val="1"/>
        </w:numPr>
        <w:shd w:val="clear" w:color="auto" w:fill="FFFFFF"/>
        <w:spacing w:before="0" w:beforeAutospacing="0" w:after="0" w:afterAutospacing="0"/>
        <w:ind w:left="0"/>
        <w:rPr>
          <w:rFonts w:hint="eastAsia"/>
          <w:color w:val="333333"/>
          <w:sz w:val="18"/>
          <w:szCs w:val="18"/>
        </w:rPr>
      </w:pPr>
      <w:proofErr w:type="spellStart"/>
      <w:r>
        <w:rPr>
          <w:rFonts w:ascii="仿宋" w:eastAsia="仿宋" w:hAnsi="仿宋" w:hint="eastAsia"/>
          <w:color w:val="333333"/>
          <w:sz w:val="32"/>
          <w:szCs w:val="32"/>
        </w:rPr>
        <w:t>Upcic</w:t>
      </w:r>
      <w:proofErr w:type="spellEnd"/>
      <w:r>
        <w:rPr>
          <w:rFonts w:ascii="仿宋" w:eastAsia="仿宋" w:hAnsi="仿宋" w:hint="eastAsia"/>
          <w:color w:val="333333"/>
          <w:sz w:val="32"/>
          <w:szCs w:val="32"/>
        </w:rPr>
        <w:t>课程学分在认定后，不标注具体认定项目，统一标记为“</w:t>
      </w:r>
      <w:proofErr w:type="spellStart"/>
      <w:r>
        <w:rPr>
          <w:rFonts w:ascii="仿宋" w:eastAsia="仿宋" w:hAnsi="仿宋" w:hint="eastAsia"/>
          <w:color w:val="333333"/>
          <w:sz w:val="32"/>
          <w:szCs w:val="32"/>
        </w:rPr>
        <w:t>Upcic</w:t>
      </w:r>
      <w:proofErr w:type="spellEnd"/>
      <w:r>
        <w:rPr>
          <w:rFonts w:ascii="仿宋" w:eastAsia="仿宋" w:hAnsi="仿宋" w:hint="eastAsia"/>
          <w:color w:val="333333"/>
          <w:sz w:val="32"/>
          <w:szCs w:val="32"/>
        </w:rPr>
        <w:t>课程”，成绩登记为“通过”。</w:t>
      </w:r>
    </w:p>
    <w:p w14:paraId="03834EC4" w14:textId="77777777" w:rsidR="00784E15" w:rsidRDefault="00784E15" w:rsidP="00784E15">
      <w:pPr>
        <w:pStyle w:val="a8"/>
        <w:numPr>
          <w:ilvl w:val="0"/>
          <w:numId w:val="1"/>
        </w:numPr>
        <w:shd w:val="clear" w:color="auto" w:fill="FFFFFF"/>
        <w:spacing w:before="0" w:beforeAutospacing="0" w:after="0" w:afterAutospacing="0"/>
        <w:ind w:left="0"/>
        <w:rPr>
          <w:rFonts w:hint="eastAsia"/>
          <w:color w:val="333333"/>
          <w:sz w:val="18"/>
          <w:szCs w:val="18"/>
        </w:rPr>
      </w:pPr>
      <w:r>
        <w:rPr>
          <w:rFonts w:ascii="仿宋" w:eastAsia="仿宋" w:hAnsi="仿宋" w:hint="eastAsia"/>
          <w:color w:val="333333"/>
          <w:sz w:val="32"/>
          <w:szCs w:val="32"/>
        </w:rPr>
        <w:t>申请认定项目为培养方案中的必修环节或者和具体课程相关的，不予认定</w:t>
      </w:r>
      <w:proofErr w:type="spellStart"/>
      <w:r>
        <w:rPr>
          <w:rFonts w:ascii="仿宋" w:eastAsia="仿宋" w:hAnsi="仿宋" w:hint="eastAsia"/>
          <w:color w:val="333333"/>
          <w:sz w:val="32"/>
          <w:szCs w:val="32"/>
        </w:rPr>
        <w:t>Upcic</w:t>
      </w:r>
      <w:proofErr w:type="spellEnd"/>
      <w:r>
        <w:rPr>
          <w:rFonts w:ascii="仿宋" w:eastAsia="仿宋" w:hAnsi="仿宋" w:hint="eastAsia"/>
          <w:color w:val="333333"/>
          <w:sz w:val="32"/>
          <w:szCs w:val="32"/>
        </w:rPr>
        <w:t>学分。</w:t>
      </w:r>
    </w:p>
    <w:p w14:paraId="5F715C17" w14:textId="77777777" w:rsidR="00784E15" w:rsidRDefault="00784E15" w:rsidP="00784E15">
      <w:pPr>
        <w:pStyle w:val="a8"/>
        <w:numPr>
          <w:ilvl w:val="0"/>
          <w:numId w:val="1"/>
        </w:numPr>
        <w:shd w:val="clear" w:color="auto" w:fill="FFFFFF"/>
        <w:spacing w:before="0" w:beforeAutospacing="0" w:after="0" w:afterAutospacing="0"/>
        <w:ind w:left="0"/>
        <w:rPr>
          <w:rFonts w:hint="eastAsia"/>
          <w:color w:val="333333"/>
          <w:sz w:val="18"/>
          <w:szCs w:val="18"/>
        </w:rPr>
      </w:pPr>
      <w:r>
        <w:rPr>
          <w:rFonts w:ascii="仿宋" w:eastAsia="仿宋" w:hAnsi="仿宋" w:hint="eastAsia"/>
          <w:color w:val="333333"/>
          <w:sz w:val="32"/>
          <w:szCs w:val="32"/>
        </w:rPr>
        <w:lastRenderedPageBreak/>
        <w:t>申请认定项目为集中学习的须提供纸质成绩单，且成绩单上应有修课人姓名、课程名称、学时、学分等认定必要信息，其他活动须提供相应证明材料。</w:t>
      </w:r>
    </w:p>
    <w:p w14:paraId="1AE6C29D" w14:textId="77777777" w:rsidR="00784E15" w:rsidRDefault="00784E15" w:rsidP="00784E15">
      <w:pPr>
        <w:pStyle w:val="western"/>
        <w:shd w:val="clear" w:color="auto" w:fill="FFFFFF"/>
        <w:spacing w:before="0" w:beforeAutospacing="0" w:after="0" w:afterAutospacing="0"/>
        <w:jc w:val="center"/>
        <w:rPr>
          <w:rFonts w:hint="eastAsia"/>
          <w:color w:val="333333"/>
          <w:sz w:val="18"/>
          <w:szCs w:val="18"/>
        </w:rPr>
      </w:pPr>
      <w:r>
        <w:rPr>
          <w:rStyle w:val="a7"/>
          <w:rFonts w:ascii="黑体" w:eastAsia="黑体" w:hAnsi="黑体" w:hint="eastAsia"/>
          <w:color w:val="333333"/>
          <w:sz w:val="32"/>
          <w:szCs w:val="32"/>
        </w:rPr>
        <w:t>第三章 认定程序</w:t>
      </w:r>
    </w:p>
    <w:p w14:paraId="21C4B5DD"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333333"/>
          <w:sz w:val="32"/>
          <w:szCs w:val="32"/>
        </w:rPr>
        <w:t>第八条 研究生填写《中国石油大学（华东）研究生学分认定表》，连同成绩单或其他证明材料，提交至所在院（部），院（部）负责课程、成绩、学分的论证、折算和审核工作。</w:t>
      </w:r>
    </w:p>
    <w:p w14:paraId="128194F0"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000000"/>
          <w:sz w:val="32"/>
          <w:szCs w:val="32"/>
        </w:rPr>
        <w:t>第九条 审核结果须进行不少于3日的公示。公示无异议，相关材料报研究生院</w:t>
      </w:r>
      <w:proofErr w:type="gramStart"/>
      <w:r>
        <w:rPr>
          <w:rFonts w:ascii="仿宋" w:eastAsia="仿宋" w:hAnsi="仿宋" w:hint="eastAsia"/>
          <w:color w:val="000000"/>
          <w:sz w:val="32"/>
          <w:szCs w:val="32"/>
        </w:rPr>
        <w:t>培养办</w:t>
      </w:r>
      <w:proofErr w:type="gramEnd"/>
      <w:r>
        <w:rPr>
          <w:rFonts w:ascii="仿宋" w:eastAsia="仿宋" w:hAnsi="仿宋" w:hint="eastAsia"/>
          <w:color w:val="000000"/>
          <w:sz w:val="32"/>
          <w:szCs w:val="32"/>
        </w:rPr>
        <w:t>备案，院（部）负责将相应认定成绩录入研究生教育管理信息系统。</w:t>
      </w:r>
    </w:p>
    <w:p w14:paraId="103B70C4"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000000"/>
          <w:sz w:val="32"/>
          <w:szCs w:val="32"/>
        </w:rPr>
        <w:t>第十条 课程学分认定工作每学期开展一次，一般安排在第1至第2教学周。申请学分认定须在取得修课成绩或参加相关活动、竞赛后的第二学期内完成。</w:t>
      </w:r>
    </w:p>
    <w:p w14:paraId="5361BDCF" w14:textId="77777777" w:rsidR="00784E15" w:rsidRDefault="00784E15" w:rsidP="00784E15">
      <w:pPr>
        <w:pStyle w:val="western"/>
        <w:shd w:val="clear" w:color="auto" w:fill="FFFFFF"/>
        <w:spacing w:before="0" w:beforeAutospacing="0" w:after="0" w:afterAutospacing="0"/>
        <w:jc w:val="center"/>
        <w:rPr>
          <w:rFonts w:hint="eastAsia"/>
          <w:color w:val="333333"/>
          <w:sz w:val="18"/>
          <w:szCs w:val="18"/>
        </w:rPr>
      </w:pPr>
      <w:r>
        <w:rPr>
          <w:rStyle w:val="a7"/>
          <w:rFonts w:ascii="黑体" w:eastAsia="黑体" w:hAnsi="黑体" w:hint="eastAsia"/>
          <w:color w:val="333333"/>
          <w:sz w:val="32"/>
          <w:szCs w:val="32"/>
        </w:rPr>
        <w:t>第四章 附则</w:t>
      </w:r>
    </w:p>
    <w:p w14:paraId="67BB8749"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r>
        <w:rPr>
          <w:rFonts w:ascii="仿宋" w:eastAsia="仿宋" w:hAnsi="仿宋" w:hint="eastAsia"/>
          <w:color w:val="333333"/>
          <w:sz w:val="32"/>
          <w:szCs w:val="32"/>
        </w:rPr>
        <w:t>第十一条 本办法由研究生院负责解释，自公布之日起施行。以往有关规定与此不一致的，以本办法为准。</w:t>
      </w:r>
    </w:p>
    <w:p w14:paraId="2041FA9A"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p>
    <w:p w14:paraId="1E379BD2"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p>
    <w:p w14:paraId="566191C4"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p>
    <w:p w14:paraId="7821FB2B"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p>
    <w:p w14:paraId="4AADA133"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p>
    <w:p w14:paraId="020DEFAF"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p>
    <w:p w14:paraId="6BB0AAFE"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p>
    <w:p w14:paraId="739CC8BC" w14:textId="77777777" w:rsidR="00784E15" w:rsidRDefault="00784E15" w:rsidP="00784E15">
      <w:pPr>
        <w:pStyle w:val="western"/>
        <w:shd w:val="clear" w:color="auto" w:fill="FFFFFF"/>
        <w:spacing w:before="0" w:beforeAutospacing="0" w:after="0" w:afterAutospacing="0"/>
        <w:ind w:firstLine="634"/>
        <w:rPr>
          <w:rFonts w:hint="eastAsia"/>
          <w:color w:val="333333"/>
          <w:sz w:val="18"/>
          <w:szCs w:val="18"/>
        </w:rPr>
      </w:pPr>
    </w:p>
    <w:p w14:paraId="60CDCBCE" w14:textId="77777777" w:rsidR="00784E15" w:rsidRDefault="00784E15" w:rsidP="00784E15">
      <w:pPr>
        <w:pStyle w:val="a8"/>
        <w:shd w:val="clear" w:color="auto" w:fill="FFFFFF"/>
        <w:spacing w:before="0" w:beforeAutospacing="0" w:after="0" w:afterAutospacing="0" w:line="225" w:lineRule="atLeast"/>
        <w:rPr>
          <w:rFonts w:hint="eastAsia"/>
          <w:color w:val="333333"/>
          <w:sz w:val="18"/>
          <w:szCs w:val="18"/>
        </w:rPr>
      </w:pPr>
      <w:r>
        <w:rPr>
          <w:rFonts w:ascii="仿宋_GB2312" w:eastAsia="仿宋_GB2312" w:hint="eastAsia"/>
          <w:color w:val="333333"/>
          <w:sz w:val="32"/>
          <w:szCs w:val="32"/>
          <w:u w:val="single"/>
        </w:rPr>
        <w:lastRenderedPageBreak/>
        <w:t xml:space="preserve">中国石油大学（华东）研究生院 </w:t>
      </w:r>
      <w:r>
        <w:rPr>
          <w:rFonts w:ascii="仿宋_GB2312" w:eastAsia="仿宋_GB2312" w:hint="eastAsia"/>
          <w:color w:val="333333"/>
          <w:sz w:val="32"/>
          <w:szCs w:val="32"/>
          <w:u w:val="single"/>
        </w:rPr>
        <w:t>     </w:t>
      </w:r>
      <w:r>
        <w:rPr>
          <w:rFonts w:ascii="仿宋_GB2312" w:eastAsia="仿宋_GB2312" w:hint="eastAsia"/>
          <w:color w:val="333333"/>
          <w:sz w:val="32"/>
          <w:szCs w:val="32"/>
          <w:u w:val="single"/>
        </w:rPr>
        <w:t xml:space="preserve">2018年7月23日印发 </w:t>
      </w:r>
      <w:r>
        <w:rPr>
          <w:rFonts w:ascii="仿宋_GB2312" w:eastAsia="仿宋_GB2312" w:hint="eastAsia"/>
          <w:color w:val="333333"/>
          <w:sz w:val="32"/>
          <w:szCs w:val="32"/>
          <w:u w:val="single"/>
        </w:rPr>
        <w:t>   </w:t>
      </w:r>
    </w:p>
    <w:p w14:paraId="5C56D9F5" w14:textId="77777777" w:rsidR="00F45E7A" w:rsidRPr="00784E15" w:rsidRDefault="00F45E7A">
      <w:bookmarkStart w:id="1" w:name="_GoBack"/>
      <w:bookmarkEnd w:id="1"/>
    </w:p>
    <w:sectPr w:rsidR="00F45E7A" w:rsidRPr="00784E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58A0F" w14:textId="77777777" w:rsidR="00414613" w:rsidRDefault="00414613" w:rsidP="00784E15">
      <w:r>
        <w:separator/>
      </w:r>
    </w:p>
  </w:endnote>
  <w:endnote w:type="continuationSeparator" w:id="0">
    <w:p w14:paraId="293F8303" w14:textId="77777777" w:rsidR="00414613" w:rsidRDefault="00414613" w:rsidP="0078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宋体"/>
    <w:panose1 w:val="00000000000000000000"/>
    <w:charset w:val="86"/>
    <w:family w:val="roman"/>
    <w:notTrueType/>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080FC" w14:textId="77777777" w:rsidR="00414613" w:rsidRDefault="00414613" w:rsidP="00784E15">
      <w:r>
        <w:separator/>
      </w:r>
    </w:p>
  </w:footnote>
  <w:footnote w:type="continuationSeparator" w:id="0">
    <w:p w14:paraId="030F55D4" w14:textId="77777777" w:rsidR="00414613" w:rsidRDefault="00414613" w:rsidP="00784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E1E10"/>
    <w:multiLevelType w:val="multilevel"/>
    <w:tmpl w:val="EFE02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7A"/>
    <w:rsid w:val="00414613"/>
    <w:rsid w:val="00784E15"/>
    <w:rsid w:val="00F4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220FF7-C51A-4BE3-B771-2B6D0DCC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E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4E15"/>
    <w:rPr>
      <w:sz w:val="18"/>
      <w:szCs w:val="18"/>
    </w:rPr>
  </w:style>
  <w:style w:type="paragraph" w:styleId="a5">
    <w:name w:val="footer"/>
    <w:basedOn w:val="a"/>
    <w:link w:val="a6"/>
    <w:uiPriority w:val="99"/>
    <w:unhideWhenUsed/>
    <w:rsid w:val="00784E15"/>
    <w:pPr>
      <w:tabs>
        <w:tab w:val="center" w:pos="4153"/>
        <w:tab w:val="right" w:pos="8306"/>
      </w:tabs>
      <w:snapToGrid w:val="0"/>
      <w:jc w:val="left"/>
    </w:pPr>
    <w:rPr>
      <w:sz w:val="18"/>
      <w:szCs w:val="18"/>
    </w:rPr>
  </w:style>
  <w:style w:type="character" w:customStyle="1" w:styleId="a6">
    <w:name w:val="页脚 字符"/>
    <w:basedOn w:val="a0"/>
    <w:link w:val="a5"/>
    <w:uiPriority w:val="99"/>
    <w:rsid w:val="00784E15"/>
    <w:rPr>
      <w:sz w:val="18"/>
      <w:szCs w:val="18"/>
    </w:rPr>
  </w:style>
  <w:style w:type="paragraph" w:customStyle="1" w:styleId="western">
    <w:name w:val="western"/>
    <w:basedOn w:val="a"/>
    <w:rsid w:val="00784E1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84E15"/>
    <w:rPr>
      <w:b/>
      <w:bCs/>
    </w:rPr>
  </w:style>
  <w:style w:type="paragraph" w:styleId="a8">
    <w:name w:val="Normal (Web)"/>
    <w:basedOn w:val="a"/>
    <w:uiPriority w:val="99"/>
    <w:semiHidden/>
    <w:unhideWhenUsed/>
    <w:rsid w:val="00784E1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2023-11-17T13:58:00Z</dcterms:created>
  <dcterms:modified xsi:type="dcterms:W3CDTF">2023-11-17T13:58:00Z</dcterms:modified>
</cp:coreProperties>
</file>